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6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5"/>
              <w:gridCol w:w="7845"/>
              <w:tblGridChange w:id="0">
                <w:tblGrid>
                  <w:gridCol w:w="2805"/>
                  <w:gridCol w:w="78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cfe2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spacing w:line="240" w:lineRule="auto"/>
                    <w:jc w:val="right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Review Meeting:</w:t>
                    <w:br w:type="textWrapping"/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weekly/monthly/date</w:t>
                  </w:r>
                </w:p>
              </w:tc>
              <w:tc>
                <w:tcPr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cfe2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spacing w:line="240" w:lineRule="auto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Attendees:</w:t>
                  </w:r>
                </w:p>
              </w:tc>
              <w:tc>
                <w:tcPr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cfe2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spacing w:line="240" w:lineRule="auto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SLO Adoption:</w:t>
                  </w:r>
                </w:p>
              </w:tc>
              <w:tc>
                <w:tcPr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cfe2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spacing w:line="240" w:lineRule="auto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SLO Adoption Leader:</w:t>
                  </w:r>
                </w:p>
              </w:tc>
              <w:tc>
                <w:tcPr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6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28"/>
              <w:gridCol w:w="5328"/>
              <w:tblGridChange w:id="0">
                <w:tblGrid>
                  <w:gridCol w:w="5328"/>
                  <w:gridCol w:w="532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cfe2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Agenda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Provide information about topics discussed - this might be a recurring review meeting or at hoc review meeting; all important topics should be listed below; for example are SLI/SLO initial assumptions still valid.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ff"/>
                <w:sz w:val="18"/>
                <w:szCs w:val="18"/>
                <w:rtl w:val="0"/>
              </w:rPr>
              <w:t xml:space="preserve">SLIs Reviewed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63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85"/>
              <w:gridCol w:w="3825"/>
              <w:gridCol w:w="6225"/>
              <w:tblGridChange w:id="0">
                <w:tblGrid>
                  <w:gridCol w:w="585"/>
                  <w:gridCol w:w="3825"/>
                  <w:gridCol w:w="62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SLI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Review Conclusions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&gt;...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ff"/>
                <w:sz w:val="18"/>
                <w:szCs w:val="18"/>
                <w:rtl w:val="0"/>
              </w:rPr>
              <w:t xml:space="preserve">SLOs Reviewed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63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70"/>
              <w:gridCol w:w="3855"/>
              <w:gridCol w:w="6210"/>
              <w:tblGridChange w:id="0">
                <w:tblGrid>
                  <w:gridCol w:w="570"/>
                  <w:gridCol w:w="3855"/>
                  <w:gridCol w:w="62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#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SLO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Review Conclusions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&gt;...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 rows if needed.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ff"/>
                <w:sz w:val="18"/>
                <w:szCs w:val="18"/>
                <w:rtl w:val="0"/>
              </w:rPr>
              <w:t xml:space="preserve">SLI/SLO Operation Health Check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5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00"/>
              <w:gridCol w:w="7590"/>
              <w:tblGridChange w:id="0">
                <w:tblGrid>
                  <w:gridCol w:w="3000"/>
                  <w:gridCol w:w="75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Area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Conclusions, Issues, and Lessons Learned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Error Budget Events &amp; Alerts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SLI Data Cleanliness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SLI/SLO Adjustments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SLO Insights</w:t>
                  </w:r>
                </w:p>
              </w:tc>
              <w:tc>
                <w:tcPr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6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28"/>
              <w:gridCol w:w="5328"/>
              <w:tblGridChange w:id="0">
                <w:tblGrid>
                  <w:gridCol w:w="5328"/>
                  <w:gridCol w:w="532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cfe2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Action Items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Provide information about any particular to do’s; TASK - WHO - TILL WHEN.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76" w:lineRule="auto"/>
                    <w:ind w:left="0" w:firstLine="0"/>
                    <w:rPr>
                      <w:color w:val="3c4043"/>
                      <w:highlight w:val="white"/>
                    </w:rPr>
                  </w:pPr>
                  <w:r w:rsidDel="00000000" w:rsidR="00000000" w:rsidRPr="00000000">
                    <w:rPr>
                      <w:color w:val="3c4043"/>
                      <w:highlight w:val="white"/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cfe2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Decisions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Provide information about any particular important decisions made.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spacing w:line="276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cfe2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Notes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Place for any relevant notes to be captured.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1155cc" w:space="0" w:sz="8" w:val="single"/>
                    <w:left w:color="1155cc" w:space="0" w:sz="8" w:val="single"/>
                    <w:bottom w:color="1155cc" w:space="0" w:sz="8" w:val="single"/>
                    <w:right w:color="1155cc" w:space="0" w:sz="8" w:val="single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line="276" w:lineRule="auto"/>
      <w:jc w:val="center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template is part of SLODLC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https://slodlc.com/Release_Notes/License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SLODLC Review Check Report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lodlc.com/Release_Notes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